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E6" w:rsidRDefault="004F7B80" w:rsidP="004F7B80">
      <w:pPr>
        <w:jc w:val="center"/>
        <w:rPr>
          <w:b/>
        </w:rPr>
      </w:pPr>
      <w:bookmarkStart w:id="0" w:name="_GoBack"/>
      <w:bookmarkEnd w:id="0"/>
      <w:r>
        <w:rPr>
          <w:b/>
        </w:rPr>
        <w:t>Request for Information – Feedback Summary Sheet</w:t>
      </w:r>
    </w:p>
    <w:tbl>
      <w:tblPr>
        <w:tblStyle w:val="TableGrid"/>
        <w:tblW w:w="0" w:type="auto"/>
        <w:tblLook w:val="04A0" w:firstRow="1" w:lastRow="0" w:firstColumn="1" w:lastColumn="0" w:noHBand="0" w:noVBand="1"/>
      </w:tblPr>
      <w:tblGrid>
        <w:gridCol w:w="538"/>
        <w:gridCol w:w="1555"/>
        <w:gridCol w:w="3544"/>
        <w:gridCol w:w="1449"/>
        <w:gridCol w:w="2945"/>
        <w:gridCol w:w="4143"/>
      </w:tblGrid>
      <w:tr w:rsidR="004F7B80" w:rsidTr="000749F7">
        <w:trPr>
          <w:trHeight w:val="743"/>
        </w:trPr>
        <w:tc>
          <w:tcPr>
            <w:tcW w:w="2093" w:type="dxa"/>
            <w:gridSpan w:val="2"/>
          </w:tcPr>
          <w:p w:rsidR="004F7B80" w:rsidRDefault="004F7B80" w:rsidP="004F7B80">
            <w:pPr>
              <w:rPr>
                <w:b/>
              </w:rPr>
            </w:pPr>
            <w:r>
              <w:rPr>
                <w:b/>
              </w:rPr>
              <w:t>Request made by:</w:t>
            </w:r>
          </w:p>
        </w:tc>
        <w:tc>
          <w:tcPr>
            <w:tcW w:w="4993" w:type="dxa"/>
            <w:gridSpan w:val="2"/>
          </w:tcPr>
          <w:p w:rsidR="00DE0AFF" w:rsidRPr="00B07E39" w:rsidRDefault="00D47053" w:rsidP="00A24A77">
            <w:r>
              <w:t>Claire Horsfield</w:t>
            </w:r>
          </w:p>
        </w:tc>
        <w:tc>
          <w:tcPr>
            <w:tcW w:w="2945" w:type="dxa"/>
          </w:tcPr>
          <w:p w:rsidR="004F7B80" w:rsidRDefault="004F7B80" w:rsidP="004F7B80">
            <w:pPr>
              <w:rPr>
                <w:b/>
              </w:rPr>
            </w:pPr>
            <w:r>
              <w:rPr>
                <w:b/>
              </w:rPr>
              <w:t>Responses to be sent back to:</w:t>
            </w:r>
          </w:p>
        </w:tc>
        <w:tc>
          <w:tcPr>
            <w:tcW w:w="4143" w:type="dxa"/>
          </w:tcPr>
          <w:p w:rsidR="00B857C7" w:rsidRPr="00F351B8" w:rsidRDefault="00D47053" w:rsidP="00A24A77">
            <w:r>
              <w:t>Claire.horsfield@lthtr.nhs.uk</w:t>
            </w:r>
          </w:p>
        </w:tc>
      </w:tr>
      <w:tr w:rsidR="004F7B80" w:rsidTr="00A24A77">
        <w:tc>
          <w:tcPr>
            <w:tcW w:w="2093" w:type="dxa"/>
            <w:gridSpan w:val="2"/>
          </w:tcPr>
          <w:p w:rsidR="004F7B80" w:rsidRDefault="004F7B80" w:rsidP="004F7B80">
            <w:pPr>
              <w:rPr>
                <w:b/>
              </w:rPr>
            </w:pPr>
            <w:r>
              <w:rPr>
                <w:b/>
              </w:rPr>
              <w:t>Date request made:</w:t>
            </w:r>
          </w:p>
        </w:tc>
        <w:tc>
          <w:tcPr>
            <w:tcW w:w="4993" w:type="dxa"/>
            <w:gridSpan w:val="2"/>
          </w:tcPr>
          <w:p w:rsidR="00DE0AFF" w:rsidRDefault="00D47053" w:rsidP="00A24A77">
            <w:r>
              <w:t>13</w:t>
            </w:r>
            <w:r w:rsidRPr="00D47053">
              <w:rPr>
                <w:vertAlign w:val="superscript"/>
              </w:rPr>
              <w:t>th</w:t>
            </w:r>
            <w:r>
              <w:t xml:space="preserve"> August 2018</w:t>
            </w:r>
          </w:p>
          <w:p w:rsidR="003A6648" w:rsidRPr="00B07E39" w:rsidRDefault="003A6648" w:rsidP="00A24A77"/>
        </w:tc>
        <w:tc>
          <w:tcPr>
            <w:tcW w:w="2945" w:type="dxa"/>
          </w:tcPr>
          <w:p w:rsidR="004F7B80" w:rsidRDefault="004F7B80" w:rsidP="004F7B80">
            <w:pPr>
              <w:rPr>
                <w:b/>
              </w:rPr>
            </w:pPr>
            <w:r>
              <w:rPr>
                <w:b/>
              </w:rPr>
              <w:t>Date sent out:</w:t>
            </w:r>
          </w:p>
        </w:tc>
        <w:tc>
          <w:tcPr>
            <w:tcW w:w="4143" w:type="dxa"/>
          </w:tcPr>
          <w:p w:rsidR="00B857C7" w:rsidRPr="00F351B8" w:rsidRDefault="00D47053" w:rsidP="00A24A77">
            <w:r>
              <w:t>13</w:t>
            </w:r>
            <w:r w:rsidRPr="00D47053">
              <w:rPr>
                <w:vertAlign w:val="superscript"/>
              </w:rPr>
              <w:t>th</w:t>
            </w:r>
            <w:r>
              <w:t xml:space="preserve"> August 2018</w:t>
            </w:r>
          </w:p>
        </w:tc>
      </w:tr>
      <w:tr w:rsidR="004F7B80" w:rsidTr="00A24A77">
        <w:tc>
          <w:tcPr>
            <w:tcW w:w="2093" w:type="dxa"/>
            <w:gridSpan w:val="2"/>
          </w:tcPr>
          <w:p w:rsidR="004F7B80" w:rsidRDefault="004F7B80" w:rsidP="004F7B80">
            <w:pPr>
              <w:rPr>
                <w:b/>
              </w:rPr>
            </w:pPr>
            <w:r>
              <w:rPr>
                <w:b/>
              </w:rPr>
              <w:t>Details of Request:</w:t>
            </w:r>
          </w:p>
        </w:tc>
        <w:tc>
          <w:tcPr>
            <w:tcW w:w="12081" w:type="dxa"/>
            <w:gridSpan w:val="4"/>
          </w:tcPr>
          <w:p w:rsidR="00D47053" w:rsidRPr="00D47053" w:rsidRDefault="00D47053" w:rsidP="00D47053">
            <w:pPr>
              <w:rPr>
                <w:i/>
              </w:rPr>
            </w:pPr>
            <w:r w:rsidRPr="00D47053">
              <w:rPr>
                <w:i/>
              </w:rPr>
              <w:t xml:space="preserve">Our network currently collects information relating to the % of patients followed up within 36 hours of discharge from critical care. One of our trusts has asked if this is still applicable to patients who have significant delays in being transferred to a ward area. i.e. Some patients are almost ready for home by the time they leave the unit, so the question has been asked if the follow up time frame should be related instead to the time from ‘deemed fit for discharge’  -in which case, a number of patients are still within critical care. </w:t>
            </w:r>
          </w:p>
          <w:p w:rsidR="004F7B80" w:rsidRDefault="00D47053" w:rsidP="00A24A77">
            <w:pPr>
              <w:rPr>
                <w:b/>
              </w:rPr>
            </w:pPr>
            <w:r w:rsidRPr="00D47053">
              <w:rPr>
                <w:i/>
              </w:rPr>
              <w:t>I would welcome comments about this please. Many Thanks.</w:t>
            </w:r>
          </w:p>
        </w:tc>
      </w:tr>
      <w:tr w:rsidR="004F7B80" w:rsidTr="004F7B80">
        <w:tc>
          <w:tcPr>
            <w:tcW w:w="538" w:type="dxa"/>
          </w:tcPr>
          <w:p w:rsidR="004F7B80" w:rsidRPr="004F7B80" w:rsidRDefault="004F7B80" w:rsidP="004F7B80">
            <w:pPr>
              <w:jc w:val="center"/>
              <w:rPr>
                <w:b/>
              </w:rPr>
            </w:pPr>
            <w:r>
              <w:rPr>
                <w:b/>
              </w:rPr>
              <w:t>No.</w:t>
            </w:r>
          </w:p>
        </w:tc>
        <w:tc>
          <w:tcPr>
            <w:tcW w:w="5099" w:type="dxa"/>
            <w:gridSpan w:val="2"/>
          </w:tcPr>
          <w:p w:rsidR="004F7B80" w:rsidRPr="004F7B80" w:rsidRDefault="004F7B80" w:rsidP="004F7B80">
            <w:pPr>
              <w:jc w:val="center"/>
              <w:rPr>
                <w:b/>
              </w:rPr>
            </w:pPr>
            <w:r w:rsidRPr="004F7B80">
              <w:rPr>
                <w:b/>
              </w:rPr>
              <w:t>Response Received From:</w:t>
            </w:r>
          </w:p>
        </w:tc>
        <w:tc>
          <w:tcPr>
            <w:tcW w:w="8537" w:type="dxa"/>
            <w:gridSpan w:val="3"/>
          </w:tcPr>
          <w:p w:rsidR="004F7B80" w:rsidRPr="004F7B80" w:rsidRDefault="004F7B80" w:rsidP="004F7B80">
            <w:pPr>
              <w:jc w:val="center"/>
              <w:rPr>
                <w:b/>
              </w:rPr>
            </w:pPr>
            <w:r w:rsidRPr="004F7B80">
              <w:rPr>
                <w:b/>
              </w:rPr>
              <w:t>Details of Response:</w:t>
            </w:r>
          </w:p>
        </w:tc>
      </w:tr>
      <w:tr w:rsidR="004F7B80" w:rsidTr="00A24A77">
        <w:tc>
          <w:tcPr>
            <w:tcW w:w="538" w:type="dxa"/>
          </w:tcPr>
          <w:p w:rsidR="004F7B80" w:rsidRDefault="004F7B80" w:rsidP="004F7B80">
            <w:pPr>
              <w:jc w:val="center"/>
            </w:pPr>
            <w:r>
              <w:t>1</w:t>
            </w:r>
          </w:p>
        </w:tc>
        <w:tc>
          <w:tcPr>
            <w:tcW w:w="5099" w:type="dxa"/>
            <w:gridSpan w:val="2"/>
          </w:tcPr>
          <w:p w:rsidR="00D47053" w:rsidRPr="00D47053" w:rsidRDefault="00D47053" w:rsidP="00D47053">
            <w:pPr>
              <w:rPr>
                <w:color w:val="000000"/>
              </w:rPr>
            </w:pPr>
            <w:r w:rsidRPr="00D47053">
              <w:rPr>
                <w:rFonts w:cs="Arial"/>
                <w:bCs/>
                <w:i/>
                <w:iCs/>
                <w:color w:val="1F497D"/>
              </w:rPr>
              <w:t>Shelly Griffiths MSc</w:t>
            </w:r>
          </w:p>
          <w:p w:rsidR="00D47053" w:rsidRPr="00D47053" w:rsidRDefault="00D47053" w:rsidP="00D47053">
            <w:pPr>
              <w:rPr>
                <w:color w:val="000000"/>
              </w:rPr>
            </w:pPr>
            <w:r w:rsidRPr="00D47053">
              <w:rPr>
                <w:rFonts w:cs="Arial"/>
                <w:bCs/>
                <w:color w:val="0000FF"/>
              </w:rPr>
              <w:t>Ymarferydd Clinigol Uwch /A</w:t>
            </w:r>
            <w:r w:rsidRPr="00D47053">
              <w:rPr>
                <w:rFonts w:cs="Arial"/>
                <w:color w:val="0000FF"/>
              </w:rPr>
              <w:t xml:space="preserve">dvanced Clinical Practitioner </w:t>
            </w:r>
          </w:p>
          <w:p w:rsidR="00D47053" w:rsidRPr="00D47053" w:rsidRDefault="00D47053" w:rsidP="00D47053">
            <w:pPr>
              <w:rPr>
                <w:color w:val="000000"/>
              </w:rPr>
            </w:pPr>
            <w:r w:rsidRPr="00D47053">
              <w:rPr>
                <w:rFonts w:cs="Tahoma"/>
                <w:bCs/>
                <w:color w:val="0000FF"/>
              </w:rPr>
              <w:t>Tîm Ymyrraeth Aciwt/</w:t>
            </w:r>
            <w:r w:rsidRPr="00D47053">
              <w:rPr>
                <w:rFonts w:cs="Tahoma"/>
                <w:bCs/>
                <w:color w:val="808080"/>
              </w:rPr>
              <w:t>Acute Intervention Team</w:t>
            </w:r>
          </w:p>
          <w:p w:rsidR="00D47053" w:rsidRPr="00D47053" w:rsidRDefault="00D47053" w:rsidP="00D47053">
            <w:pPr>
              <w:rPr>
                <w:color w:val="000000"/>
              </w:rPr>
            </w:pPr>
            <w:r w:rsidRPr="00D47053">
              <w:rPr>
                <w:rFonts w:cs="Arial"/>
                <w:bCs/>
                <w:color w:val="000000"/>
              </w:rPr>
              <w:t>GRhG Anaestheteg, Gofal Critigol a Phoen / Anaesthetics, Critical Care &amp; Pain CPG</w:t>
            </w:r>
          </w:p>
          <w:p w:rsidR="00D47053" w:rsidRPr="00D47053" w:rsidRDefault="00D47053" w:rsidP="00D47053">
            <w:pPr>
              <w:rPr>
                <w:color w:val="000000"/>
              </w:rPr>
            </w:pPr>
            <w:r w:rsidRPr="00D47053">
              <w:rPr>
                <w:rFonts w:cs="Arial"/>
                <w:bCs/>
                <w:color w:val="000080"/>
              </w:rPr>
              <w:t>Bwrdd Iechyd Prifysgol</w:t>
            </w:r>
            <w:r w:rsidRPr="00D47053">
              <w:rPr>
                <w:rFonts w:cs="Arial"/>
                <w:bCs/>
                <w:color w:val="000080"/>
              </w:rPr>
              <w:br/>
              <w:t>Betsi Cadwaladr</w:t>
            </w:r>
            <w:r w:rsidRPr="00D47053">
              <w:rPr>
                <w:rFonts w:cs="Arial"/>
                <w:bCs/>
                <w:color w:val="000080"/>
              </w:rPr>
              <w:br/>
              <w:t>University Health Board</w:t>
            </w:r>
          </w:p>
          <w:p w:rsidR="00D47053" w:rsidRPr="00D47053" w:rsidRDefault="00D47053" w:rsidP="00D47053">
            <w:pPr>
              <w:rPr>
                <w:rFonts w:cs="Arial"/>
                <w:bCs/>
                <w:color w:val="000080"/>
              </w:rPr>
            </w:pPr>
            <w:r w:rsidRPr="00D47053">
              <w:rPr>
                <w:rFonts w:cs="Arial"/>
                <w:bCs/>
                <w:color w:val="000080"/>
              </w:rPr>
              <w:t xml:space="preserve">BLEEP 4495 </w:t>
            </w:r>
          </w:p>
          <w:p w:rsidR="004F7B80" w:rsidRDefault="00D47053" w:rsidP="00D47053">
            <w:r w:rsidRPr="00D47053">
              <w:rPr>
                <w:rFonts w:cs="Arial"/>
                <w:bCs/>
                <w:color w:val="000080"/>
              </w:rPr>
              <w:t>Phone 01745 583910 ex 6096</w:t>
            </w:r>
          </w:p>
        </w:tc>
        <w:tc>
          <w:tcPr>
            <w:tcW w:w="8537" w:type="dxa"/>
            <w:gridSpan w:val="3"/>
          </w:tcPr>
          <w:p w:rsidR="00D47053" w:rsidRDefault="00D47053" w:rsidP="00D47053">
            <w:pPr>
              <w:rPr>
                <w:color w:val="1F497D"/>
              </w:rPr>
            </w:pPr>
            <w:r>
              <w:rPr>
                <w:color w:val="1F497D"/>
              </w:rPr>
              <w:t>Hi Claire,</w:t>
            </w:r>
          </w:p>
          <w:p w:rsidR="00D47053" w:rsidRDefault="00D47053" w:rsidP="00D47053">
            <w:pPr>
              <w:rPr>
                <w:color w:val="1F497D"/>
              </w:rPr>
            </w:pPr>
            <w:r>
              <w:rPr>
                <w:color w:val="1F497D"/>
              </w:rPr>
              <w:t>Our outreach team follows up post discharge from the high care area (if a patients steps down to CCU we follow them up after discharge from CCU as it is deemed level 2 care).</w:t>
            </w:r>
          </w:p>
          <w:p w:rsidR="00D47053" w:rsidRDefault="00D47053" w:rsidP="00D47053">
            <w:pPr>
              <w:rPr>
                <w:color w:val="1F497D"/>
              </w:rPr>
            </w:pPr>
            <w:r>
              <w:rPr>
                <w:color w:val="1F497D"/>
              </w:rPr>
              <w:t>To be honest I have not considered delays discharges before but it should be a consideration.</w:t>
            </w:r>
          </w:p>
          <w:p w:rsidR="00D47053" w:rsidRDefault="00D47053" w:rsidP="00D47053">
            <w:pPr>
              <w:rPr>
                <w:color w:val="1F497D"/>
              </w:rPr>
            </w:pPr>
            <w:r>
              <w:rPr>
                <w:color w:val="1F497D"/>
              </w:rPr>
              <w:t>Any further information please get in touch.</w:t>
            </w:r>
          </w:p>
          <w:p w:rsidR="004F7B80" w:rsidRDefault="004F7B80" w:rsidP="00A24A77"/>
        </w:tc>
      </w:tr>
      <w:tr w:rsidR="004F7B80" w:rsidTr="00A24A77">
        <w:tc>
          <w:tcPr>
            <w:tcW w:w="538" w:type="dxa"/>
          </w:tcPr>
          <w:p w:rsidR="004F7B80" w:rsidRDefault="004F7B80" w:rsidP="004F7B80">
            <w:pPr>
              <w:jc w:val="center"/>
            </w:pPr>
            <w:r>
              <w:t>2</w:t>
            </w:r>
          </w:p>
        </w:tc>
        <w:tc>
          <w:tcPr>
            <w:tcW w:w="5099" w:type="dxa"/>
            <w:gridSpan w:val="2"/>
          </w:tcPr>
          <w:p w:rsidR="004F7B80" w:rsidRDefault="004F7B80" w:rsidP="00A24A77"/>
          <w:p w:rsidR="004F7B80" w:rsidRDefault="00D47053" w:rsidP="00A24A77">
            <w:r>
              <w:t>Ifor Evans</w:t>
            </w:r>
          </w:p>
          <w:p w:rsidR="004F7B80" w:rsidRDefault="004F7B80" w:rsidP="00A24A77"/>
          <w:p w:rsidR="004F7B80" w:rsidRDefault="004F7B80" w:rsidP="00A24A77"/>
        </w:tc>
        <w:tc>
          <w:tcPr>
            <w:tcW w:w="8537" w:type="dxa"/>
            <w:gridSpan w:val="3"/>
          </w:tcPr>
          <w:p w:rsidR="00D47053" w:rsidRDefault="00D47053" w:rsidP="00D47053">
            <w:pPr>
              <w:rPr>
                <w:color w:val="1F497D"/>
              </w:rPr>
            </w:pPr>
            <w:r>
              <w:rPr>
                <w:color w:val="1F497D"/>
              </w:rPr>
              <w:t xml:space="preserve">I assume this is related to the contract in England and therefore not applicable to us in Wales. For what it’s worth, my view is – the standard is presumably to ensure that all patients are seen by outreach promptly to ensure that they are being safely cared for on the wards and to provide ward staff with advice if necessary, therefore it doesn’t make any sense to start the clock at “when deemed fit for discharge”. </w:t>
            </w:r>
          </w:p>
          <w:p w:rsidR="00D47053" w:rsidRDefault="00D47053" w:rsidP="00D47053">
            <w:pPr>
              <w:rPr>
                <w:color w:val="1F497D"/>
              </w:rPr>
            </w:pPr>
            <w:r>
              <w:rPr>
                <w:color w:val="1F497D"/>
              </w:rPr>
              <w:t xml:space="preserve">I don’t suppose you can alter the standard but again my view would be that those patients whose transfer from the unit is delayed so long they are almost ready to go home don’t need </w:t>
            </w:r>
            <w:r>
              <w:rPr>
                <w:color w:val="1F497D"/>
              </w:rPr>
              <w:lastRenderedPageBreak/>
              <w:t xml:space="preserve">the input of outreach and those resources could be better spent elsewhere. For such patients I think they should be categorised as not needing outreach and excluded from the figures. </w:t>
            </w:r>
          </w:p>
          <w:p w:rsidR="004F7B80" w:rsidRPr="00D47053" w:rsidRDefault="00D47053" w:rsidP="00A24A77">
            <w:pPr>
              <w:rPr>
                <w:color w:val="1F497D"/>
              </w:rPr>
            </w:pPr>
            <w:r>
              <w:rPr>
                <w:color w:val="1F497D"/>
              </w:rPr>
              <w:t>I hope that is some use</w:t>
            </w:r>
          </w:p>
        </w:tc>
      </w:tr>
      <w:tr w:rsidR="004F7B80" w:rsidTr="00A24A77">
        <w:tc>
          <w:tcPr>
            <w:tcW w:w="538" w:type="dxa"/>
          </w:tcPr>
          <w:p w:rsidR="004F7B80" w:rsidRDefault="004F7B80" w:rsidP="004F7B80">
            <w:pPr>
              <w:jc w:val="center"/>
            </w:pPr>
            <w:r>
              <w:lastRenderedPageBreak/>
              <w:t>3</w:t>
            </w:r>
          </w:p>
        </w:tc>
        <w:tc>
          <w:tcPr>
            <w:tcW w:w="5099" w:type="dxa"/>
            <w:gridSpan w:val="2"/>
          </w:tcPr>
          <w:p w:rsidR="004F7B80" w:rsidRDefault="00D47053" w:rsidP="00A24A77">
            <w:r>
              <w:t>Karen Berry</w:t>
            </w:r>
          </w:p>
          <w:p w:rsidR="00D47053" w:rsidRDefault="00D47053" w:rsidP="00A24A77">
            <w:r>
              <w:t>GMCCMTN</w:t>
            </w:r>
          </w:p>
          <w:p w:rsidR="004F7B80" w:rsidRDefault="004F7B80" w:rsidP="00A24A77"/>
          <w:p w:rsidR="004F7B80" w:rsidRDefault="004F7B80" w:rsidP="00A24A77"/>
          <w:p w:rsidR="004F7B80" w:rsidRDefault="004F7B80" w:rsidP="00A24A77"/>
        </w:tc>
        <w:tc>
          <w:tcPr>
            <w:tcW w:w="8537" w:type="dxa"/>
            <w:gridSpan w:val="3"/>
          </w:tcPr>
          <w:p w:rsidR="00D47053" w:rsidRDefault="00D47053" w:rsidP="00D47053">
            <w:pPr>
              <w:rPr>
                <w:color w:val="1F497D"/>
              </w:rPr>
            </w:pPr>
            <w:r>
              <w:rPr>
                <w:color w:val="1F497D"/>
              </w:rPr>
              <w:t xml:space="preserve">Within GM we don’t collect that information for each unit…most units collect it themselves </w:t>
            </w:r>
          </w:p>
          <w:p w:rsidR="004F7B80" w:rsidRDefault="00D47053" w:rsidP="00D47053">
            <w:r>
              <w:rPr>
                <w:color w:val="1F497D"/>
              </w:rPr>
              <w:t>We also have an increasing number of patients going home from critical care units …it would be interesting to hear what other Networks do.</w:t>
            </w:r>
          </w:p>
        </w:tc>
      </w:tr>
    </w:tbl>
    <w:p w:rsidR="004F7B80" w:rsidRPr="004F7B80" w:rsidRDefault="004F7B80" w:rsidP="004F7B80">
      <w:pPr>
        <w:jc w:val="center"/>
      </w:pPr>
    </w:p>
    <w:p w:rsidR="004F7B80" w:rsidRDefault="004F7B80"/>
    <w:sectPr w:rsidR="004F7B80" w:rsidSect="004F7B8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80" w:rsidRDefault="004F7B80" w:rsidP="004F7B80">
      <w:pPr>
        <w:spacing w:after="0" w:line="240" w:lineRule="auto"/>
      </w:pPr>
      <w:r>
        <w:separator/>
      </w:r>
    </w:p>
  </w:endnote>
  <w:endnote w:type="continuationSeparator" w:id="0">
    <w:p w:rsidR="004F7B80" w:rsidRDefault="004F7B80" w:rsidP="004F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80" w:rsidRDefault="004F7B80">
    <w:pPr>
      <w:pStyle w:val="Footer"/>
    </w:pPr>
    <w:r>
      <w:t xml:space="preserve">Please complete and return this form to </w:t>
    </w:r>
    <w:hyperlink r:id="rId1" w:history="1">
      <w:r w:rsidRPr="00970345">
        <w:rPr>
          <w:rStyle w:val="Hyperlink"/>
        </w:rPr>
        <w:t>Claire.horsfield@lthtr.nhs.uk</w:t>
      </w:r>
    </w:hyperlink>
    <w:r>
      <w:t xml:space="preserve">  12 weeks following request for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80" w:rsidRDefault="004F7B80" w:rsidP="004F7B80">
      <w:pPr>
        <w:spacing w:after="0" w:line="240" w:lineRule="auto"/>
      </w:pPr>
      <w:r>
        <w:separator/>
      </w:r>
    </w:p>
  </w:footnote>
  <w:footnote w:type="continuationSeparator" w:id="0">
    <w:p w:rsidR="004F7B80" w:rsidRDefault="004F7B80" w:rsidP="004F7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80" w:rsidRDefault="004F7B80" w:rsidP="004F7B80">
    <w:pPr>
      <w:pStyle w:val="Header"/>
      <w:jc w:val="right"/>
    </w:pPr>
    <w:r>
      <w:rPr>
        <w:noProof/>
        <w:lang w:eastAsia="en-GB"/>
      </w:rPr>
      <w:drawing>
        <wp:inline distT="0" distB="0" distL="0" distR="0" wp14:anchorId="0F3D6B7D">
          <wp:extent cx="1743710" cy="8350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835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80"/>
    <w:rsid w:val="000749F7"/>
    <w:rsid w:val="00163F15"/>
    <w:rsid w:val="00362680"/>
    <w:rsid w:val="003A6648"/>
    <w:rsid w:val="004F7B80"/>
    <w:rsid w:val="00542DF2"/>
    <w:rsid w:val="00705930"/>
    <w:rsid w:val="00A24A77"/>
    <w:rsid w:val="00B07E39"/>
    <w:rsid w:val="00B857C7"/>
    <w:rsid w:val="00D47053"/>
    <w:rsid w:val="00DC0DC7"/>
    <w:rsid w:val="00DE0AFF"/>
    <w:rsid w:val="00F35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7B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7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9541">
      <w:bodyDiv w:val="1"/>
      <w:marLeft w:val="0"/>
      <w:marRight w:val="0"/>
      <w:marTop w:val="0"/>
      <w:marBottom w:val="0"/>
      <w:divBdr>
        <w:top w:val="none" w:sz="0" w:space="0" w:color="auto"/>
        <w:left w:val="none" w:sz="0" w:space="0" w:color="auto"/>
        <w:bottom w:val="none" w:sz="0" w:space="0" w:color="auto"/>
        <w:right w:val="none" w:sz="0" w:space="0" w:color="auto"/>
      </w:divBdr>
    </w:div>
    <w:div w:id="221984196">
      <w:bodyDiv w:val="1"/>
      <w:marLeft w:val="0"/>
      <w:marRight w:val="0"/>
      <w:marTop w:val="0"/>
      <w:marBottom w:val="0"/>
      <w:divBdr>
        <w:top w:val="none" w:sz="0" w:space="0" w:color="auto"/>
        <w:left w:val="none" w:sz="0" w:space="0" w:color="auto"/>
        <w:bottom w:val="none" w:sz="0" w:space="0" w:color="auto"/>
        <w:right w:val="none" w:sz="0" w:space="0" w:color="auto"/>
      </w:divBdr>
    </w:div>
    <w:div w:id="532502691">
      <w:bodyDiv w:val="1"/>
      <w:marLeft w:val="0"/>
      <w:marRight w:val="0"/>
      <w:marTop w:val="0"/>
      <w:marBottom w:val="0"/>
      <w:divBdr>
        <w:top w:val="none" w:sz="0" w:space="0" w:color="auto"/>
        <w:left w:val="none" w:sz="0" w:space="0" w:color="auto"/>
        <w:bottom w:val="none" w:sz="0" w:space="0" w:color="auto"/>
        <w:right w:val="none" w:sz="0" w:space="0" w:color="auto"/>
      </w:divBdr>
    </w:div>
    <w:div w:id="167846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aire.horsfield@lthtr.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Horsfield Claire (LTHTR)</dc:creator>
  <cp:lastModifiedBy>Alison Richmond</cp:lastModifiedBy>
  <cp:revision>2</cp:revision>
  <dcterms:created xsi:type="dcterms:W3CDTF">2018-09-19T12:06:00Z</dcterms:created>
  <dcterms:modified xsi:type="dcterms:W3CDTF">2018-09-19T12:06:00Z</dcterms:modified>
</cp:coreProperties>
</file>